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907DF0" w:rsidRDefault="00897BB7" w:rsidP="00533453">
      <w:p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907DF0" w:rsidRDefault="00897BB7" w:rsidP="0053345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907DF0" w:rsidRDefault="00897BB7" w:rsidP="0053345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07DF0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907DF0" w:rsidRDefault="00897BB7" w:rsidP="0053345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5A32" w:rsidRDefault="00897BB7" w:rsidP="00F65A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złożona w postępowaniu o udziel</w:t>
      </w:r>
      <w:bookmarkStart w:id="0" w:name="_Hlk58572032"/>
      <w:r w:rsidR="00907DF0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enie zamówienia publicznego pn. </w:t>
      </w:r>
      <w:bookmarkStart w:id="1" w:name="_Hlk135997165"/>
      <w:r w:rsidR="00F65A32" w:rsidRPr="00B1730C">
        <w:rPr>
          <w:rFonts w:ascii="Arial" w:hAnsi="Arial"/>
          <w:b/>
          <w:i/>
          <w:sz w:val="20"/>
          <w:szCs w:val="20"/>
        </w:rPr>
        <w:t xml:space="preserve">Regionalne ścieżki rowerowe </w:t>
      </w:r>
      <w:proofErr w:type="spellStart"/>
      <w:r w:rsidR="00F65A32" w:rsidRPr="00B1730C">
        <w:rPr>
          <w:rFonts w:ascii="Arial" w:hAnsi="Arial"/>
          <w:b/>
          <w:i/>
          <w:sz w:val="20"/>
          <w:szCs w:val="20"/>
        </w:rPr>
        <w:t>VeloMałopolska</w:t>
      </w:r>
      <w:proofErr w:type="spellEnd"/>
      <w:r w:rsidR="00F65A32" w:rsidRPr="00B1730C">
        <w:rPr>
          <w:rFonts w:ascii="Arial" w:hAnsi="Arial"/>
          <w:b/>
          <w:i/>
          <w:sz w:val="20"/>
          <w:szCs w:val="20"/>
        </w:rPr>
        <w:t>: Wiślana Trasa</w:t>
      </w:r>
      <w:r w:rsidR="00F65A32">
        <w:rPr>
          <w:rFonts w:ascii="Arial" w:hAnsi="Arial"/>
          <w:b/>
          <w:i/>
          <w:sz w:val="20"/>
          <w:szCs w:val="20"/>
        </w:rPr>
        <w:t xml:space="preserve"> </w:t>
      </w:r>
      <w:r w:rsidR="00F65A32" w:rsidRPr="00B1730C">
        <w:rPr>
          <w:rFonts w:ascii="Arial" w:hAnsi="Arial"/>
          <w:b/>
          <w:i/>
          <w:sz w:val="20"/>
          <w:szCs w:val="20"/>
        </w:rPr>
        <w:t xml:space="preserve">Rowerowa – budowa odcinków na terenie gmin Wietrzychowice </w:t>
      </w:r>
      <w:r w:rsidR="00F65A32">
        <w:rPr>
          <w:rFonts w:ascii="Arial" w:hAnsi="Arial"/>
          <w:b/>
          <w:i/>
          <w:sz w:val="20"/>
          <w:szCs w:val="20"/>
        </w:rPr>
        <w:br/>
      </w:r>
      <w:r w:rsidR="00F65A32" w:rsidRPr="00B1730C">
        <w:rPr>
          <w:rFonts w:ascii="Arial" w:hAnsi="Arial"/>
          <w:b/>
          <w:i/>
          <w:sz w:val="20"/>
          <w:szCs w:val="20"/>
        </w:rPr>
        <w:t>i Wieliczka – z podziałem na części</w:t>
      </w:r>
      <w:r w:rsidR="00F65A32">
        <w:rPr>
          <w:rFonts w:ascii="Arial" w:eastAsia="Calibri" w:hAnsi="Arial"/>
          <w:b/>
          <w:i/>
          <w:sz w:val="20"/>
          <w:szCs w:val="20"/>
        </w:rPr>
        <w:t>:</w:t>
      </w:r>
    </w:p>
    <w:p w:rsidR="00F65A32" w:rsidRPr="00F65A32" w:rsidRDefault="00F65A32" w:rsidP="00F65A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Style w:val="markedcontent"/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F65A32">
        <w:rPr>
          <w:rFonts w:ascii="Arial" w:eastAsia="Calibri" w:hAnsi="Arial"/>
          <w:b/>
          <w:i/>
          <w:sz w:val="20"/>
          <w:szCs w:val="20"/>
          <w:highlight w:val="yellow"/>
          <w:u w:val="single"/>
        </w:rPr>
        <w:t xml:space="preserve">Część nr </w:t>
      </w:r>
      <w:r w:rsidR="007A5223">
        <w:rPr>
          <w:rFonts w:ascii="Arial" w:eastAsia="Calibri" w:hAnsi="Arial"/>
          <w:b/>
          <w:i/>
          <w:sz w:val="20"/>
          <w:szCs w:val="20"/>
          <w:highlight w:val="yellow"/>
          <w:u w:val="single"/>
        </w:rPr>
        <w:t>2</w:t>
      </w:r>
      <w:r w:rsidRPr="00F65A32">
        <w:rPr>
          <w:rFonts w:ascii="Arial" w:eastAsia="Calibri" w:hAnsi="Arial"/>
          <w:b/>
          <w:i/>
          <w:sz w:val="20"/>
          <w:szCs w:val="20"/>
          <w:highlight w:val="yellow"/>
          <w:u w:val="single"/>
        </w:rPr>
        <w:t xml:space="preserve"> –</w:t>
      </w:r>
      <w:r w:rsidRPr="00F65A32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</w:rPr>
        <w:t xml:space="preserve"> odcinek na terenie gminy Wie</w:t>
      </w:r>
      <w:bookmarkEnd w:id="1"/>
      <w:r w:rsidR="007A5223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</w:rPr>
        <w:t>liczka</w:t>
      </w:r>
    </w:p>
    <w:bookmarkEnd w:id="0"/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07DF0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907DF0" w:rsidRDefault="00897BB7" w:rsidP="0053345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907DF0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:rsidR="00897BB7" w:rsidRPr="00907DF0" w:rsidRDefault="00897BB7" w:rsidP="00BC46E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07DF0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907DF0">
        <w:rPr>
          <w:rFonts w:ascii="Arial" w:hAnsi="Arial" w:cs="Arial"/>
          <w:bCs/>
          <w:i/>
          <w:sz w:val="20"/>
          <w:szCs w:val="20"/>
        </w:rPr>
        <w:br/>
      </w:r>
      <w:r w:rsidRPr="00907DF0">
        <w:rPr>
          <w:rFonts w:ascii="Arial" w:hAnsi="Arial" w:cs="Arial"/>
          <w:bCs/>
          <w:i/>
          <w:sz w:val="20"/>
          <w:szCs w:val="20"/>
        </w:rPr>
        <w:t>11</w:t>
      </w:r>
      <w:r w:rsidR="00D3361B" w:rsidRPr="00907DF0">
        <w:rPr>
          <w:rFonts w:ascii="Arial" w:hAnsi="Arial" w:cs="Arial"/>
          <w:bCs/>
          <w:i/>
          <w:sz w:val="20"/>
          <w:szCs w:val="20"/>
        </w:rPr>
        <w:t>.03.</w:t>
      </w:r>
      <w:r w:rsidRPr="00907DF0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907DF0" w:rsidRDefault="00D227D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 w:rsidRPr="00907DF0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 w:rsidRPr="00907DF0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lastRenderedPageBreak/>
        <w:t>nazwa (rodzaj) towaru lub usługi, których dostawa lub świadczenie będą prowadziły do powstania obowiązku</w:t>
      </w:r>
      <w:r w:rsidR="009149D6" w:rsidRPr="00907DF0">
        <w:rPr>
          <w:rFonts w:ascii="Arial" w:hAnsi="Arial" w:cs="Arial"/>
          <w:sz w:val="20"/>
          <w:szCs w:val="20"/>
        </w:rPr>
        <w:t xml:space="preserve"> </w:t>
      </w:r>
      <w:r w:rsidRPr="00907DF0">
        <w:rPr>
          <w:rFonts w:ascii="Arial" w:hAnsi="Arial" w:cs="Arial"/>
          <w:sz w:val="20"/>
          <w:szCs w:val="20"/>
        </w:rPr>
        <w:t>podatkowego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907DF0" w:rsidRDefault="00897BB7" w:rsidP="0053345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07DF0">
        <w:rPr>
          <w:rFonts w:ascii="Arial" w:hAnsi="Arial" w:cs="Arial"/>
          <w:sz w:val="20"/>
          <w:szCs w:val="20"/>
        </w:rPr>
        <w:t>stawk</w:t>
      </w:r>
      <w:r w:rsidR="00813F39" w:rsidRPr="00907DF0">
        <w:rPr>
          <w:rFonts w:ascii="Arial" w:hAnsi="Arial" w:cs="Arial"/>
          <w:sz w:val="20"/>
          <w:szCs w:val="20"/>
        </w:rPr>
        <w:t xml:space="preserve">a </w:t>
      </w:r>
      <w:r w:rsidRPr="00907DF0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907DF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97BB7" w:rsidRDefault="001F793E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A1796">
        <w:rPr>
          <w:rFonts w:ascii="Arial" w:hAnsi="Arial" w:cs="Arial"/>
          <w:sz w:val="20"/>
          <w:lang w:eastAsia="ar-SA"/>
        </w:rPr>
        <w:t>Oświadcz</w:t>
      </w:r>
      <w:r w:rsidR="00BC46E0">
        <w:rPr>
          <w:rFonts w:ascii="Arial" w:hAnsi="Arial" w:cs="Arial"/>
          <w:sz w:val="20"/>
          <w:lang w:eastAsia="ar-SA"/>
        </w:rPr>
        <w:t xml:space="preserve">amy, że przedmiotowe zamówienie </w:t>
      </w:r>
      <w:r w:rsidRPr="000A1796">
        <w:rPr>
          <w:rFonts w:ascii="Arial" w:hAnsi="Arial" w:cs="Arial"/>
          <w:bCs/>
          <w:sz w:val="20"/>
        </w:rPr>
        <w:t xml:space="preserve">wykonamy w terminie </w:t>
      </w:r>
      <w:r w:rsidR="00BC46E0">
        <w:rPr>
          <w:rFonts w:ascii="Arial" w:hAnsi="Arial" w:cs="Arial"/>
          <w:b/>
          <w:bCs/>
          <w:sz w:val="20"/>
        </w:rPr>
        <w:t>1</w:t>
      </w:r>
      <w:r w:rsidR="007A5223">
        <w:rPr>
          <w:rFonts w:ascii="Arial" w:hAnsi="Arial" w:cs="Arial"/>
          <w:b/>
          <w:bCs/>
          <w:sz w:val="20"/>
        </w:rPr>
        <w:t>8</w:t>
      </w:r>
      <w:r w:rsidRPr="000A1796">
        <w:rPr>
          <w:rFonts w:ascii="Arial" w:hAnsi="Arial" w:cs="Arial"/>
          <w:b/>
          <w:bCs/>
          <w:sz w:val="20"/>
        </w:rPr>
        <w:t xml:space="preserve"> miesięcy od daty zawarcia umowy</w:t>
      </w:r>
      <w:r w:rsidR="00BC46E0">
        <w:rPr>
          <w:rFonts w:ascii="Arial" w:hAnsi="Arial" w:cs="Arial"/>
          <w:bCs/>
          <w:sz w:val="20"/>
        </w:rPr>
        <w:t>.</w:t>
      </w:r>
    </w:p>
    <w:p w:rsidR="00BC46E0" w:rsidRPr="00F65A32" w:rsidRDefault="00BC46E0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30"/>
          <w:szCs w:val="30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0A1796" w:rsidRPr="000A1796" w:rsidRDefault="00FE02A3" w:rsidP="000A179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A1796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0A1796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0A1796"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odbioru końcowego przedmiotu umowy, </w:t>
      </w:r>
      <w:r w:rsidR="000A1796" w:rsidRPr="000A1796">
        <w:rPr>
          <w:rFonts w:ascii="Arial" w:eastAsia="Times New Roman" w:hAnsi="Arial" w:cs="Arial"/>
          <w:sz w:val="20"/>
          <w:szCs w:val="20"/>
          <w:lang w:eastAsia="ar-SA"/>
        </w:rPr>
        <w:t xml:space="preserve">z wyłączeniem oznakowania poziomego, dla którego udzielamy </w:t>
      </w:r>
      <w:r w:rsidR="00882E60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0A1796" w:rsidRPr="000A1796">
        <w:rPr>
          <w:rFonts w:ascii="Arial" w:eastAsia="Times New Roman" w:hAnsi="Arial" w:cs="Arial"/>
          <w:sz w:val="20"/>
          <w:szCs w:val="20"/>
          <w:lang w:eastAsia="ar-SA"/>
        </w:rPr>
        <w:t>36-miesięcznej gwarancji i rękojmi licząc od daty odbioru końcowego przedmiotu umowy.</w:t>
      </w:r>
    </w:p>
    <w:p w:rsidR="00F117BF" w:rsidRPr="00907DF0" w:rsidRDefault="00F117BF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u w:val="single"/>
          <w:lang w:eastAsia="ar-SA"/>
        </w:rPr>
      </w:pPr>
    </w:p>
    <w:p w:rsidR="00897BB7" w:rsidRPr="00950C7D" w:rsidRDefault="00813F39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950C7D" w:rsidRDefault="00813F39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950C7D" w:rsidRDefault="00813F39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950C7D" w:rsidRDefault="00813F39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950C7D" w:rsidRDefault="00813F3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Pr="00F65A32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F65A32" w:rsidRPr="00F65A32" w:rsidRDefault="00F65A32" w:rsidP="00F65A32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950C7D" w:rsidRDefault="00403C9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F86B2E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="00950C7D" w:rsidRPr="00950C7D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="00FC676F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F86B2E">
        <w:rPr>
          <w:rFonts w:ascii="Arial" w:eastAsia="Times New Roman" w:hAnsi="Arial" w:cs="Arial"/>
          <w:i/>
          <w:sz w:val="20"/>
          <w:szCs w:val="20"/>
          <w:lang w:eastAsia="ar-SA"/>
        </w:rPr>
        <w:t>pięćdziesiąt</w:t>
      </w:r>
      <w:r w:rsidR="00136B02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</w:t>
      </w:r>
      <w:r w:rsidR="00D3361B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ysięcy złotych 00/100) 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950C7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907DF0" w:rsidRDefault="00460F58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50C7D" w:rsidRDefault="002C61AC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</w:t>
      </w:r>
      <w:bookmarkStart w:id="3" w:name="_GoBack"/>
      <w:bookmarkEnd w:id="3"/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chylenia dyrektywy 95/46/WE (ogólne rozporządzenie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950C7D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950C7D" w:rsidRDefault="002D09A9" w:rsidP="00533453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lang w:eastAsia="ar-SA"/>
        </w:rPr>
      </w:pPr>
    </w:p>
    <w:p w:rsidR="00EA78C3" w:rsidRPr="00950C7D" w:rsidRDefault="002D09A9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lastRenderedPageBreak/>
        <w:t>informacje zawarte na stronach</w:t>
      </w:r>
      <w:r w:rsidR="00EA78C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950C7D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950C7D">
        <w:rPr>
          <w:rFonts w:ascii="Arial" w:hAnsi="Arial" w:cs="Arial"/>
          <w:bCs/>
          <w:i/>
          <w:sz w:val="20"/>
          <w:szCs w:val="20"/>
        </w:rPr>
        <w:br/>
      </w:r>
      <w:r w:rsidRPr="00950C7D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4" w:name="_Hlk69895971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4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950C7D" w:rsidRDefault="000517B7" w:rsidP="0053345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950C7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950C7D" w:rsidRDefault="000517B7" w:rsidP="0053345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950C7D">
        <w:rPr>
          <w:rFonts w:ascii="Arial" w:eastAsia="Calibri" w:hAnsi="Arial" w:cs="Arial"/>
          <w:sz w:val="20"/>
          <w:szCs w:val="20"/>
        </w:rPr>
        <w:t>.................</w:t>
      </w:r>
      <w:r w:rsidR="00897BB7" w:rsidRPr="00950C7D">
        <w:rPr>
          <w:rFonts w:ascii="Arial" w:eastAsia="Calibri" w:hAnsi="Arial" w:cs="Arial"/>
          <w:sz w:val="20"/>
          <w:szCs w:val="20"/>
        </w:rPr>
        <w:t>…</w:t>
      </w:r>
      <w:r w:rsidR="002D09A9" w:rsidRPr="00950C7D">
        <w:rPr>
          <w:rFonts w:ascii="Arial" w:eastAsia="Calibri" w:hAnsi="Arial" w:cs="Arial"/>
          <w:sz w:val="20"/>
          <w:szCs w:val="20"/>
        </w:rPr>
        <w:t>.</w:t>
      </w:r>
      <w:r w:rsidR="00897BB7" w:rsidRPr="00950C7D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950C7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950C7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950C7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950C7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950C7D" w:rsidRDefault="003A25D2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:rsidR="00882E60" w:rsidRPr="00882E60" w:rsidRDefault="00882E60" w:rsidP="00882E60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882E60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t>zabezpieczenia należytego wykonania umowy w wysokości 5 % ceny całkowitej, a w przypadku wnoszenia zabezpieczenia (całości lub jakiejkolwiek jego części)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950C7D" w:rsidRDefault="0068653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950C7D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50C7D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950C7D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br/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950C7D">
        <w:rPr>
          <w:rFonts w:ascii="Arial" w:eastAsia="Arial Unicode MS" w:hAnsi="Arial" w:cs="Arial"/>
          <w:i/>
          <w:sz w:val="20"/>
          <w:szCs w:val="20"/>
        </w:rPr>
        <w:t>u</w:t>
      </w:r>
      <w:r w:rsidRPr="00950C7D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950C7D">
        <w:rPr>
          <w:rFonts w:ascii="Arial" w:hAnsi="Arial" w:cs="Arial"/>
          <w:i/>
          <w:sz w:val="20"/>
          <w:szCs w:val="20"/>
        </w:rPr>
        <w:br/>
      </w:r>
      <w:r w:rsidRPr="00950C7D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hAnsi="Arial" w:cs="Arial"/>
          <w:sz w:val="20"/>
          <w:szCs w:val="20"/>
        </w:rPr>
        <w:t>tzn. jesteśmy / nie jesteśmy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950C7D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 w:rsidR="00F65A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listę, o której mowa w ust. 2, ustawy lub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950C7D" w:rsidRDefault="0068653F" w:rsidP="00533453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950C7D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950C7D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950C7D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950C7D" w:rsidRDefault="00EA78C3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950C7D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950C7D" w:rsidRDefault="00676D73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907DF0" w:rsidRDefault="000517B7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5" w:name="_Hlk37412176"/>
      <w:bookmarkEnd w:id="5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6.6pt;margin-top:57.1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F65A32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F65A32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F65A3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F65A3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F65A32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907DF0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7B7" w:rsidRDefault="000517B7" w:rsidP="00897BB7">
      <w:pPr>
        <w:spacing w:after="0" w:line="240" w:lineRule="auto"/>
      </w:pPr>
      <w:r>
        <w:separator/>
      </w:r>
    </w:p>
  </w:endnote>
  <w:endnote w:type="continuationSeparator" w:id="0">
    <w:p w:rsidR="000517B7" w:rsidRDefault="000517B7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93A7D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93A7D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7B7" w:rsidRDefault="000517B7" w:rsidP="00897BB7">
      <w:pPr>
        <w:spacing w:after="0" w:line="240" w:lineRule="auto"/>
      </w:pPr>
      <w:r>
        <w:separator/>
      </w:r>
    </w:p>
  </w:footnote>
  <w:footnote w:type="continuationSeparator" w:id="0">
    <w:p w:rsidR="000517B7" w:rsidRDefault="000517B7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0517B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0517B7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0517B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BC46E0">
      <w:rPr>
        <w:rFonts w:ascii="Arial" w:hAnsi="Arial" w:cs="Arial"/>
        <w:bCs/>
        <w:sz w:val="16"/>
        <w:szCs w:val="16"/>
        <w:lang w:eastAsia="pl-PL"/>
      </w:rPr>
      <w:t>.</w:t>
    </w:r>
    <w:r w:rsidR="007A5223">
      <w:rPr>
        <w:rFonts w:ascii="Arial" w:hAnsi="Arial" w:cs="Arial"/>
        <w:bCs/>
        <w:sz w:val="16"/>
        <w:szCs w:val="16"/>
        <w:lang w:eastAsia="pl-PL"/>
      </w:rPr>
      <w:t>2</w:t>
    </w:r>
    <w:r w:rsidR="00D71B2E">
      <w:rPr>
        <w:rFonts w:ascii="Arial" w:hAnsi="Arial" w:cs="Arial"/>
        <w:bCs/>
        <w:sz w:val="16"/>
        <w:szCs w:val="16"/>
        <w:lang w:eastAsia="pl-PL"/>
      </w:rPr>
      <w:t>.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  <w:r w:rsidR="00F86B2E">
      <w:rPr>
        <w:rFonts w:ascii="Arial" w:hAnsi="Arial" w:cs="Arial"/>
        <w:bCs/>
        <w:sz w:val="16"/>
        <w:szCs w:val="16"/>
        <w:lang w:eastAsia="pl-PL"/>
      </w:rPr>
      <w:t xml:space="preserve"> – zamienny (25.06.2025 r.)</w:t>
    </w:r>
  </w:p>
  <w:p w:rsidR="00CB6573" w:rsidRPr="00CB6573" w:rsidRDefault="00200B29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E1B1A" w:rsidRPr="00CB6573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25</w:t>
    </w:r>
    <w:r w:rsidR="00525C7E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E1B1A" w:rsidRPr="004B5DC8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3B4E9FB2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5A8FC22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6856DA"/>
    <w:multiLevelType w:val="multilevel"/>
    <w:tmpl w:val="29ECA8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7F7071"/>
    <w:multiLevelType w:val="hybridMultilevel"/>
    <w:tmpl w:val="D1507538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12"/>
  </w:num>
  <w:num w:numId="5">
    <w:abstractNumId w:val="18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10"/>
  </w:num>
  <w:num w:numId="17">
    <w:abstractNumId w:val="8"/>
  </w:num>
  <w:num w:numId="18">
    <w:abstractNumId w:val="14"/>
  </w:num>
  <w:num w:numId="19">
    <w:abstractNumId w:val="2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517B7"/>
    <w:rsid w:val="0008136F"/>
    <w:rsid w:val="000A1796"/>
    <w:rsid w:val="000B48C4"/>
    <w:rsid w:val="000B5DAA"/>
    <w:rsid w:val="000C349C"/>
    <w:rsid w:val="000D471E"/>
    <w:rsid w:val="00126521"/>
    <w:rsid w:val="0013197E"/>
    <w:rsid w:val="00136B02"/>
    <w:rsid w:val="001C768C"/>
    <w:rsid w:val="001F793E"/>
    <w:rsid w:val="00200B29"/>
    <w:rsid w:val="0020350C"/>
    <w:rsid w:val="002437C2"/>
    <w:rsid w:val="002504B0"/>
    <w:rsid w:val="00281451"/>
    <w:rsid w:val="002C61AC"/>
    <w:rsid w:val="002D09A9"/>
    <w:rsid w:val="003033D8"/>
    <w:rsid w:val="00307715"/>
    <w:rsid w:val="0034355B"/>
    <w:rsid w:val="00352ED4"/>
    <w:rsid w:val="00366406"/>
    <w:rsid w:val="00393A7D"/>
    <w:rsid w:val="003A25D2"/>
    <w:rsid w:val="00401DF3"/>
    <w:rsid w:val="00403C9F"/>
    <w:rsid w:val="00460F58"/>
    <w:rsid w:val="00470FBB"/>
    <w:rsid w:val="00496E23"/>
    <w:rsid w:val="004B41AC"/>
    <w:rsid w:val="004B5DC8"/>
    <w:rsid w:val="004E11CD"/>
    <w:rsid w:val="004E42F7"/>
    <w:rsid w:val="004F049C"/>
    <w:rsid w:val="004F76A6"/>
    <w:rsid w:val="00515DC6"/>
    <w:rsid w:val="00525C7E"/>
    <w:rsid w:val="00527C58"/>
    <w:rsid w:val="00533453"/>
    <w:rsid w:val="0055790E"/>
    <w:rsid w:val="00574949"/>
    <w:rsid w:val="005B2C84"/>
    <w:rsid w:val="00627D38"/>
    <w:rsid w:val="00676D73"/>
    <w:rsid w:val="00685E2C"/>
    <w:rsid w:val="0068653F"/>
    <w:rsid w:val="006A7E48"/>
    <w:rsid w:val="006E28E5"/>
    <w:rsid w:val="006E7E72"/>
    <w:rsid w:val="006F0901"/>
    <w:rsid w:val="0076145E"/>
    <w:rsid w:val="00764406"/>
    <w:rsid w:val="007A2FA7"/>
    <w:rsid w:val="007A5223"/>
    <w:rsid w:val="007D2F2F"/>
    <w:rsid w:val="0080155B"/>
    <w:rsid w:val="008101EC"/>
    <w:rsid w:val="00813F39"/>
    <w:rsid w:val="00841554"/>
    <w:rsid w:val="00850328"/>
    <w:rsid w:val="00856AD8"/>
    <w:rsid w:val="0086298F"/>
    <w:rsid w:val="00867C1B"/>
    <w:rsid w:val="00882E60"/>
    <w:rsid w:val="00897BB7"/>
    <w:rsid w:val="008C7CF8"/>
    <w:rsid w:val="008E58F9"/>
    <w:rsid w:val="00907DF0"/>
    <w:rsid w:val="009149D6"/>
    <w:rsid w:val="0092494F"/>
    <w:rsid w:val="00950C7D"/>
    <w:rsid w:val="00976986"/>
    <w:rsid w:val="009B27A5"/>
    <w:rsid w:val="009E3068"/>
    <w:rsid w:val="00A02ABA"/>
    <w:rsid w:val="00A068D3"/>
    <w:rsid w:val="00A16F87"/>
    <w:rsid w:val="00A64F52"/>
    <w:rsid w:val="00A66E3A"/>
    <w:rsid w:val="00AD5219"/>
    <w:rsid w:val="00AE1094"/>
    <w:rsid w:val="00AE1B1A"/>
    <w:rsid w:val="00AE7BB2"/>
    <w:rsid w:val="00B85E8D"/>
    <w:rsid w:val="00B90FB0"/>
    <w:rsid w:val="00B92135"/>
    <w:rsid w:val="00B95587"/>
    <w:rsid w:val="00BA705E"/>
    <w:rsid w:val="00BB3DB4"/>
    <w:rsid w:val="00BC46E0"/>
    <w:rsid w:val="00BD5ECE"/>
    <w:rsid w:val="00C07B61"/>
    <w:rsid w:val="00C80DEB"/>
    <w:rsid w:val="00CA1433"/>
    <w:rsid w:val="00CA677A"/>
    <w:rsid w:val="00CF1B93"/>
    <w:rsid w:val="00D16893"/>
    <w:rsid w:val="00D227D7"/>
    <w:rsid w:val="00D3361B"/>
    <w:rsid w:val="00D34582"/>
    <w:rsid w:val="00D63AAB"/>
    <w:rsid w:val="00D653D7"/>
    <w:rsid w:val="00D71B2E"/>
    <w:rsid w:val="00DB299D"/>
    <w:rsid w:val="00DD3D65"/>
    <w:rsid w:val="00E02EE1"/>
    <w:rsid w:val="00E50F19"/>
    <w:rsid w:val="00E6166F"/>
    <w:rsid w:val="00E62130"/>
    <w:rsid w:val="00E757CB"/>
    <w:rsid w:val="00EA78C3"/>
    <w:rsid w:val="00EE2C7C"/>
    <w:rsid w:val="00F117BF"/>
    <w:rsid w:val="00F6103A"/>
    <w:rsid w:val="00F65A32"/>
    <w:rsid w:val="00F732AE"/>
    <w:rsid w:val="00F8440B"/>
    <w:rsid w:val="00F86B2E"/>
    <w:rsid w:val="00FA7E69"/>
    <w:rsid w:val="00FB08E5"/>
    <w:rsid w:val="00FC200F"/>
    <w:rsid w:val="00FC676F"/>
    <w:rsid w:val="00FD0F86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66FB8"/>
  <w15:docId w15:val="{F954E0BA-06E0-4693-82ED-70DB71FA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F793E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79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1557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69</cp:revision>
  <dcterms:created xsi:type="dcterms:W3CDTF">2021-04-21T06:54:00Z</dcterms:created>
  <dcterms:modified xsi:type="dcterms:W3CDTF">2025-06-25T22:06:00Z</dcterms:modified>
</cp:coreProperties>
</file>